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STATIC PILE LOAD TESTING</w:t>
      </w:r>
    </w:p>
    <w:p>
      <w:pPr>
        <w:spacing w:after="480"/>
      </w:pPr>
      <w:r>
        <w:rPr>
          <w:rFonts w:ascii="Aptos" w:hAnsi="Aptos"/>
          <w:b w:val="0"/>
          <w:color w:val="5E6B78"/>
          <w:sz w:val="26"/>
        </w:rPr>
        <w:t>Ujian Beban Statik Cerucuk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static pile load testing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static pile load testing.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Reaction beams and anchors</w:t>
      </w:r>
    </w:p>
    <w:p>
      <w:pPr>
        <w:pStyle w:val="ListBullet"/>
        <w:spacing w:after="50"/>
        <w:ind w:left="369" w:hanging="170"/>
      </w:pPr>
      <w:r>
        <w:rPr>
          <w:rFonts w:ascii="Aptos" w:hAnsi="Aptos"/>
          <w:b w:val="0"/>
          <w:color w:val="263442"/>
          <w:sz w:val="19"/>
        </w:rPr>
        <w:t>Kentledge blocks where used</w:t>
      </w:r>
    </w:p>
    <w:p>
      <w:pPr>
        <w:pStyle w:val="ListBullet"/>
        <w:spacing w:after="50"/>
        <w:ind w:left="369" w:hanging="170"/>
      </w:pPr>
      <w:r>
        <w:rPr>
          <w:rFonts w:ascii="Aptos" w:hAnsi="Aptos"/>
          <w:b w:val="0"/>
          <w:color w:val="263442"/>
          <w:sz w:val="19"/>
        </w:rPr>
        <w:t>Bearing plates</w:t>
      </w:r>
    </w:p>
    <w:p>
      <w:pPr>
        <w:pStyle w:val="ListBullet"/>
        <w:spacing w:after="50"/>
        <w:ind w:left="369" w:hanging="170"/>
      </w:pPr>
      <w:r>
        <w:rPr>
          <w:rFonts w:ascii="Aptos" w:hAnsi="Aptos"/>
          <w:b w:val="0"/>
          <w:color w:val="263442"/>
          <w:sz w:val="19"/>
        </w:rPr>
        <w:t>Reference beams</w:t>
      </w:r>
    </w:p>
    <w:p>
      <w:pPr>
        <w:pStyle w:val="ListBullet"/>
        <w:spacing w:after="50"/>
        <w:ind w:left="369" w:hanging="170"/>
      </w:pPr>
      <w:r>
        <w:rPr>
          <w:rFonts w:ascii="Aptos" w:hAnsi="Aptos"/>
          <w:b w:val="0"/>
          <w:color w:val="263442"/>
          <w:sz w:val="19"/>
        </w:rPr>
        <w:t>Survey targets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Hydraulic jacks</w:t>
      </w:r>
    </w:p>
    <w:p>
      <w:pPr>
        <w:pStyle w:val="ListBullet"/>
        <w:spacing w:after="50"/>
        <w:ind w:left="369" w:hanging="170"/>
      </w:pPr>
      <w:r>
        <w:rPr>
          <w:rFonts w:ascii="Aptos" w:hAnsi="Aptos"/>
          <w:b w:val="0"/>
          <w:color w:val="263442"/>
          <w:sz w:val="19"/>
        </w:rPr>
        <w:t>Calibrated load cells and gauges</w:t>
      </w:r>
    </w:p>
    <w:p>
      <w:pPr>
        <w:pStyle w:val="ListBullet"/>
        <w:spacing w:after="50"/>
        <w:ind w:left="369" w:hanging="170"/>
      </w:pPr>
      <w:r>
        <w:rPr>
          <w:rFonts w:ascii="Aptos" w:hAnsi="Aptos"/>
          <w:b w:val="0"/>
          <w:color w:val="263442"/>
          <w:sz w:val="19"/>
        </w:rPr>
        <w:t>Dial gauges or displacement sensors</w:t>
      </w:r>
    </w:p>
    <w:p>
      <w:pPr>
        <w:pStyle w:val="ListBullet"/>
        <w:spacing w:after="50"/>
        <w:ind w:left="369" w:hanging="170"/>
      </w:pPr>
      <w:r>
        <w:rPr>
          <w:rFonts w:ascii="Aptos" w:hAnsi="Aptos"/>
          <w:b w:val="0"/>
          <w:color w:val="263442"/>
          <w:sz w:val="19"/>
        </w:rPr>
        <w:t>Data logger</w:t>
      </w:r>
    </w:p>
    <w:p>
      <w:pPr>
        <w:pStyle w:val="ListBullet"/>
        <w:spacing w:after="50"/>
        <w:ind w:left="369" w:hanging="170"/>
      </w:pPr>
      <w:r>
        <w:rPr>
          <w:rFonts w:ascii="Aptos" w:hAnsi="Aptos"/>
          <w:b w:val="0"/>
          <w:color w:val="263442"/>
          <w:sz w:val="19"/>
        </w:rPr>
        <w:t>Survey level</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static pile load testing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Reaction beams and anchors, Kentledge blocks where used, Bearing plates, Reference beams, Survey targets.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test standard. </w:t>
      </w:r>
      <w:r>
        <w:rPr>
          <w:rFonts w:ascii="Aptos" w:hAnsi="Aptos"/>
          <w:b w:val="0"/>
          <w:color w:val="263442"/>
          <w:sz w:val="19"/>
        </w:rPr>
        <w:t>Approve the test standard, reaction design, load cycle, acceptance criteria, exclusion zone and contingency plan.</w:t>
      </w:r>
    </w:p>
    <w:p>
      <w:pPr>
        <w:keepLines/>
        <w:spacing w:after="100" w:line="269" w:lineRule="auto"/>
        <w:ind w:left="369" w:hanging="369"/>
      </w:pPr>
      <w:r>
        <w:rPr>
          <w:rFonts w:ascii="Aptos" w:hAnsi="Aptos"/>
          <w:b/>
          <w:color w:val="071E33"/>
          <w:sz w:val="19"/>
        </w:rPr>
        <w:t xml:space="preserve">2. Verify test-pile age. </w:t>
      </w:r>
      <w:r>
        <w:rPr>
          <w:rFonts w:ascii="Aptos" w:hAnsi="Aptos"/>
          <w:b w:val="0"/>
          <w:color w:val="263442"/>
          <w:sz w:val="19"/>
        </w:rPr>
        <w:t>Verify test-pile age and strength and independently inspect reaction beams, anchors, kentledge and foundations.</w:t>
      </w:r>
    </w:p>
    <w:p>
      <w:pPr>
        <w:keepLines/>
        <w:spacing w:after="100" w:line="269" w:lineRule="auto"/>
        <w:ind w:left="369" w:hanging="369"/>
      </w:pPr>
      <w:r>
        <w:rPr>
          <w:rFonts w:ascii="Aptos" w:hAnsi="Aptos"/>
          <w:b/>
          <w:color w:val="071E33"/>
          <w:sz w:val="19"/>
        </w:rPr>
        <w:t xml:space="preserve">3. Install centred jacks. </w:t>
      </w:r>
      <w:r>
        <w:rPr>
          <w:rFonts w:ascii="Aptos" w:hAnsi="Aptos"/>
          <w:b w:val="0"/>
          <w:color w:val="263442"/>
          <w:sz w:val="19"/>
        </w:rPr>
        <w:t>Install centred jacks, load cells and displacement gauges on stable reference beams outside the influence zone.</w:t>
      </w:r>
    </w:p>
    <w:p>
      <w:pPr>
        <w:keepLines/>
        <w:spacing w:after="100" w:line="269" w:lineRule="auto"/>
        <w:ind w:left="369" w:hanging="369"/>
      </w:pPr>
      <w:r>
        <w:rPr>
          <w:rFonts w:ascii="Aptos" w:hAnsi="Aptos"/>
          <w:b/>
          <w:color w:val="071E33"/>
          <w:sz w:val="19"/>
        </w:rPr>
        <w:t xml:space="preserve">4. Apply seating load. </w:t>
      </w:r>
      <w:r>
        <w:rPr>
          <w:rFonts w:ascii="Aptos" w:hAnsi="Aptos"/>
          <w:b w:val="0"/>
          <w:color w:val="263442"/>
          <w:sz w:val="19"/>
        </w:rPr>
        <w:t>Apply seating load and test increments at the specified rate, holding each stage until reading criteria are met.</w:t>
      </w:r>
    </w:p>
    <w:p>
      <w:pPr>
        <w:keepLines/>
        <w:spacing w:after="100" w:line="269" w:lineRule="auto"/>
        <w:ind w:left="369" w:hanging="369"/>
      </w:pPr>
      <w:r>
        <w:rPr>
          <w:rFonts w:ascii="Aptos" w:hAnsi="Aptos"/>
          <w:b/>
          <w:color w:val="071E33"/>
          <w:sz w:val="19"/>
        </w:rPr>
        <w:t xml:space="preserve">5. Record load, time, settlement, rebound. </w:t>
      </w:r>
      <w:r>
        <w:rPr>
          <w:rFonts w:ascii="Aptos" w:hAnsi="Aptos"/>
          <w:b w:val="0"/>
          <w:color w:val="263442"/>
          <w:sz w:val="19"/>
        </w:rPr>
        <w:t>Record load, time, settlement, rebound and environmental conditions and stop at defined safety triggers.</w:t>
      </w:r>
    </w:p>
    <w:p>
      <w:pPr>
        <w:keepLines/>
        <w:spacing w:after="100" w:line="269" w:lineRule="auto"/>
        <w:ind w:left="369" w:hanging="369"/>
      </w:pPr>
      <w:r>
        <w:rPr>
          <w:rFonts w:ascii="Aptos" w:hAnsi="Aptos"/>
          <w:b/>
          <w:color w:val="071E33"/>
          <w:sz w:val="19"/>
        </w:rPr>
        <w:t xml:space="preserve">6. Unload in controlled stages. </w:t>
      </w:r>
      <w:r>
        <w:rPr>
          <w:rFonts w:ascii="Aptos" w:hAnsi="Aptos"/>
          <w:b w:val="0"/>
          <w:color w:val="263442"/>
          <w:sz w:val="19"/>
        </w:rPr>
        <w:t>Unload in controlled stages, inspect the setup and issue plotted results and the Engineer's acceptance report.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test and reaction design; setup inspection; instrumentation; loading sequence; readings and triggers;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reaction failure; kentledge collapse; stored hydraulic energy; sudden pile movement; unauthorised entry.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Test and reaction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Setup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Instrumentation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Loading sequence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Readings and triggers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Reaction failure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Kentledge collapse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hydraulic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Sudden pile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Unauthorised entry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Static Pile Load Testing</dc:title>
  <dc:subject>Editable construction method statement template</dc:subject>
  <dc:creator>Method Statement Hub Malaysia</dc:creator>
  <cp:keywords>pile load test, kentledge, maintained load test, reaction pile</cp:keywords>
  <dc:description>generated by python-docx</dc:description>
  <cp:lastModifiedBy/>
  <cp:revision>1</cp:revision>
  <dcterms:created xsi:type="dcterms:W3CDTF">2013-12-23T23:15:00Z</dcterms:created>
  <dcterms:modified xsi:type="dcterms:W3CDTF">2013-12-23T23:15:00Z</dcterms:modified>
  <cp:category/>
</cp:coreProperties>
</file>